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ascii="宋体" w:hAnsi="宋体" w:eastAsia="宋体" w:cs="宋体"/>
          <w:b/>
          <w:bCs w:val="0"/>
          <w:sz w:val="44"/>
          <w:szCs w:val="44"/>
        </w:rPr>
      </w:pPr>
      <w:r>
        <w:rPr>
          <w:rFonts w:hint="eastAsia" w:ascii="宋体" w:hAnsi="宋体" w:eastAsia="宋体" w:cs="宋体"/>
          <w:b/>
          <w:bCs w:val="0"/>
          <w:sz w:val="44"/>
          <w:szCs w:val="44"/>
          <w:lang w:val="en-US" w:eastAsia="zh-CN"/>
        </w:rPr>
        <w:t>2022年</w:t>
      </w:r>
      <w:r>
        <w:rPr>
          <w:rFonts w:hint="eastAsia" w:ascii="宋体" w:hAnsi="宋体" w:eastAsia="宋体" w:cs="宋体"/>
          <w:b/>
          <w:bCs w:val="0"/>
          <w:sz w:val="44"/>
          <w:szCs w:val="44"/>
          <w:lang w:eastAsia="zh-CN"/>
        </w:rPr>
        <w:t>数</w:t>
      </w:r>
      <w:bookmarkStart w:id="0" w:name="_GoBack"/>
      <w:bookmarkEnd w:id="0"/>
      <w:r>
        <w:rPr>
          <w:rFonts w:hint="eastAsia" w:ascii="宋体" w:hAnsi="宋体" w:eastAsia="宋体" w:cs="宋体"/>
          <w:b/>
          <w:bCs w:val="0"/>
          <w:sz w:val="44"/>
          <w:szCs w:val="44"/>
          <w:lang w:eastAsia="zh-CN"/>
        </w:rPr>
        <w:t>字博物馆项目</w:t>
      </w:r>
      <w:r>
        <w:rPr>
          <w:rFonts w:hint="eastAsia" w:ascii="宋体" w:hAnsi="宋体" w:eastAsia="宋体" w:cs="宋体"/>
          <w:b/>
          <w:bCs w:val="0"/>
          <w:sz w:val="44"/>
          <w:szCs w:val="44"/>
        </w:rPr>
        <w:t>绩效自评报告</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黑体" w:hAnsi="黑体" w:eastAsia="黑体" w:cs="黑体"/>
          <w:b w:val="0"/>
          <w:bCs/>
          <w:sz w:val="32"/>
          <w:szCs w:val="32"/>
        </w:rPr>
      </w:pPr>
      <w:r>
        <w:rPr>
          <w:rFonts w:hint="eastAsia" w:ascii="黑体" w:hAnsi="黑体" w:eastAsia="黑体" w:cs="黑体"/>
          <w:b w:val="0"/>
          <w:bCs/>
          <w:sz w:val="32"/>
          <w:szCs w:val="32"/>
        </w:rPr>
        <w:t>一、绩效目标分解下达情况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根据《海南省财政厅关于批复2022年省级部门预算的通知》（琼财预</w:t>
      </w:r>
      <w:r>
        <w:rPr>
          <w:rFonts w:hint="eastAsia" w:ascii="仿宋_GB2312" w:hAnsi="仿宋_GB2312" w:eastAsia="仿宋_GB2312" w:cs="仿宋_GB2312"/>
          <w:sz w:val="32"/>
          <w:szCs w:val="32"/>
          <w:lang w:eastAsia="zh-CN"/>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29号），2022年1月份下达</w:t>
      </w:r>
      <w:r>
        <w:rPr>
          <w:rFonts w:hint="eastAsia" w:ascii="仿宋_GB2312" w:hAnsi="仿宋_GB2312" w:cs="仿宋_GB2312"/>
          <w:sz w:val="32"/>
          <w:szCs w:val="32"/>
          <w:lang w:val="en-US" w:eastAsia="zh-CN"/>
        </w:rPr>
        <w:t>数字博物馆</w:t>
      </w:r>
      <w:r>
        <w:rPr>
          <w:rFonts w:hint="eastAsia" w:ascii="仿宋_GB2312" w:hAnsi="仿宋_GB2312" w:eastAsia="仿宋_GB2312" w:cs="仿宋_GB2312"/>
          <w:sz w:val="32"/>
          <w:szCs w:val="32"/>
          <w:lang w:val="en-US" w:eastAsia="zh-CN"/>
        </w:rPr>
        <w:t>项目</w:t>
      </w:r>
      <w:r>
        <w:rPr>
          <w:rFonts w:hint="eastAsia" w:ascii="仿宋_GB2312" w:hAnsi="仿宋_GB2312" w:cs="仿宋_GB2312"/>
          <w:sz w:val="32"/>
          <w:szCs w:val="32"/>
          <w:lang w:val="en-US" w:eastAsia="zh-CN"/>
        </w:rPr>
        <w:t>1200</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绩效总体目标：保障数字博物馆项目建设，提升文物保护和文化遗产的传承，促进博物馆行政管理模式的转变，提高社会服务和文化服务水平，改善社会公众的公共文化服务体验。</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项目绩效主要阶段性目标：一是产出指标，管理和服务项目≥2</w:t>
      </w:r>
      <w:r>
        <w:rPr>
          <w:rFonts w:hint="eastAsia" w:ascii="仿宋_GB2312" w:hAnsi="仿宋_GB2312" w:cs="仿宋_GB2312"/>
          <w:color w:val="auto"/>
          <w:sz w:val="32"/>
          <w:szCs w:val="32"/>
          <w:lang w:val="en-US" w:eastAsia="zh-CN"/>
        </w:rPr>
        <w:t>个</w:t>
      </w:r>
      <w:r>
        <w:rPr>
          <w:rFonts w:hint="eastAsia" w:ascii="仿宋_GB2312" w:hAnsi="仿宋_GB2312" w:eastAsia="仿宋_GB2312" w:cs="仿宋_GB2312"/>
          <w:color w:val="auto"/>
          <w:sz w:val="32"/>
          <w:szCs w:val="32"/>
          <w:lang w:val="en-US" w:eastAsia="zh-CN"/>
        </w:rPr>
        <w:t>；二是效益指标，项目完成率≥</w:t>
      </w:r>
      <w:r>
        <w:rPr>
          <w:rFonts w:hint="eastAsia" w:ascii="仿宋_GB2312" w:hAnsi="仿宋_GB2312" w:cs="仿宋_GB2312"/>
          <w:color w:val="auto"/>
          <w:sz w:val="32"/>
          <w:szCs w:val="32"/>
          <w:lang w:val="en-US" w:eastAsia="zh-CN"/>
        </w:rPr>
        <w:t>60%</w:t>
      </w:r>
      <w:r>
        <w:rPr>
          <w:rFonts w:hint="eastAsia" w:ascii="仿宋_GB2312" w:hAnsi="仿宋_GB2312" w:eastAsia="仿宋_GB2312" w:cs="仿宋_GB2312"/>
          <w:color w:val="auto"/>
          <w:sz w:val="32"/>
          <w:szCs w:val="32"/>
          <w:lang w:val="en-US" w:eastAsia="zh-CN"/>
        </w:rPr>
        <w:t>；三是满意度指标，对系统项目满意度≥80%。</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黑体" w:hAnsi="黑体" w:eastAsia="黑体" w:cs="黑体"/>
          <w:b w:val="0"/>
          <w:bCs/>
          <w:sz w:val="32"/>
          <w:szCs w:val="32"/>
          <w:highlight w:val="none"/>
        </w:rPr>
      </w:pPr>
      <w:r>
        <w:rPr>
          <w:rFonts w:hint="eastAsia" w:ascii="黑体" w:hAnsi="黑体" w:eastAsia="黑体" w:cs="黑体"/>
          <w:b w:val="0"/>
          <w:bCs/>
          <w:sz w:val="32"/>
          <w:szCs w:val="32"/>
          <w:highlight w:val="none"/>
        </w:rPr>
        <w:t>二、</w:t>
      </w:r>
      <w:r>
        <w:rPr>
          <w:rFonts w:hint="eastAsia" w:ascii="黑体" w:hAnsi="黑体" w:eastAsia="黑体" w:cs="黑体"/>
          <w:b w:val="0"/>
          <w:bCs/>
          <w:sz w:val="32"/>
          <w:szCs w:val="32"/>
          <w:highlight w:val="none"/>
          <w:lang w:eastAsia="zh-CN"/>
        </w:rPr>
        <w:t>绩效</w:t>
      </w:r>
      <w:r>
        <w:rPr>
          <w:rFonts w:hint="eastAsia" w:ascii="黑体" w:hAnsi="黑体" w:eastAsia="黑体" w:cs="黑体"/>
          <w:b w:val="0"/>
          <w:bCs/>
          <w:sz w:val="32"/>
          <w:szCs w:val="32"/>
          <w:highlight w:val="none"/>
        </w:rPr>
        <w:t>情况分析</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outlineLvl w:val="0"/>
        <w:rPr>
          <w:rFonts w:hint="eastAsia" w:ascii="仿宋" w:hAnsi="仿宋" w:eastAsia="仿宋" w:cs="仿宋"/>
          <w:b w:val="0"/>
          <w:bCs/>
          <w:sz w:val="32"/>
          <w:szCs w:val="32"/>
          <w:highlight w:val="none"/>
          <w:lang w:eastAsia="zh-CN"/>
        </w:rPr>
      </w:pPr>
      <w:r>
        <w:rPr>
          <w:rFonts w:hint="eastAsia" w:ascii="楷体_GB2312" w:hAnsi="楷体_GB2312" w:eastAsia="楷体_GB2312" w:cs="楷体_GB2312"/>
          <w:b w:val="0"/>
          <w:bCs/>
          <w:sz w:val="32"/>
          <w:szCs w:val="32"/>
          <w:highlight w:val="none"/>
        </w:rPr>
        <w:t>（一）资金投入</w:t>
      </w:r>
      <w:r>
        <w:rPr>
          <w:rFonts w:hint="eastAsia" w:ascii="楷体_GB2312" w:hAnsi="楷体_GB2312" w:eastAsia="楷体_GB2312" w:cs="楷体_GB2312"/>
          <w:b w:val="0"/>
          <w:bCs/>
          <w:sz w:val="32"/>
          <w:szCs w:val="32"/>
          <w:highlight w:val="none"/>
          <w:lang w:eastAsia="zh-CN"/>
        </w:rPr>
        <w:t>和管理</w:t>
      </w:r>
      <w:r>
        <w:rPr>
          <w:rFonts w:hint="eastAsia" w:ascii="楷体_GB2312" w:hAnsi="楷体_GB2312" w:eastAsia="楷体_GB2312" w:cs="楷体_GB2312"/>
          <w:b w:val="0"/>
          <w:bCs/>
          <w:sz w:val="32"/>
          <w:szCs w:val="32"/>
          <w:highlight w:val="none"/>
        </w:rPr>
        <w:t>情况分析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仿宋" w:hAnsi="仿宋" w:eastAsia="仿宋" w:cs="仿宋"/>
          <w:b w:val="0"/>
          <w:bCs/>
          <w:sz w:val="32"/>
          <w:szCs w:val="32"/>
          <w:highlight w:val="none"/>
          <w:lang w:eastAsia="zh-CN"/>
        </w:rPr>
      </w:pPr>
      <w:r>
        <w:rPr>
          <w:rFonts w:hint="eastAsia" w:ascii="仿宋_GB2312" w:hAnsi="仿宋_GB2312" w:eastAsia="仿宋_GB2312" w:cs="仿宋_GB2312"/>
          <w:sz w:val="32"/>
          <w:szCs w:val="32"/>
          <w:lang w:val="en-US" w:eastAsia="zh-CN"/>
        </w:rPr>
        <w:t>本项目资金为中央支持地方公共文化服务体系建设补助资金，预算资金</w:t>
      </w:r>
      <w:r>
        <w:rPr>
          <w:rFonts w:hint="eastAsia" w:ascii="仿宋_GB2312" w:hAnsi="仿宋_GB2312" w:cs="仿宋_GB2312"/>
          <w:sz w:val="32"/>
          <w:szCs w:val="32"/>
          <w:lang w:val="en-US" w:eastAsia="zh-CN"/>
        </w:rPr>
        <w:t>1200</w:t>
      </w:r>
      <w:r>
        <w:rPr>
          <w:rFonts w:hint="eastAsia" w:ascii="仿宋_GB2312" w:hAnsi="仿宋_GB2312" w:eastAsia="仿宋_GB2312" w:cs="仿宋_GB2312"/>
          <w:sz w:val="32"/>
          <w:szCs w:val="32"/>
          <w:lang w:val="en-US" w:eastAsia="zh-CN"/>
        </w:rPr>
        <w:t>万元全部到账，资金到位率100%。全年资金支出</w:t>
      </w:r>
      <w:r>
        <w:rPr>
          <w:rFonts w:hint="eastAsia" w:ascii="仿宋_GB2312" w:hAnsi="仿宋_GB2312" w:cs="仿宋_GB2312"/>
          <w:sz w:val="32"/>
          <w:szCs w:val="32"/>
          <w:lang w:val="en-US" w:eastAsia="zh-CN"/>
        </w:rPr>
        <w:t>52.65</w:t>
      </w:r>
      <w:r>
        <w:rPr>
          <w:rFonts w:hint="eastAsia" w:ascii="仿宋_GB2312" w:hAnsi="仿宋_GB2312" w:eastAsia="仿宋_GB2312" w:cs="仿宋_GB2312"/>
          <w:sz w:val="32"/>
          <w:szCs w:val="32"/>
          <w:lang w:val="en-US" w:eastAsia="zh-CN"/>
        </w:rPr>
        <w:t>万元，资金严格按照财务</w:t>
      </w:r>
      <w:r>
        <w:rPr>
          <w:rFonts w:hint="eastAsia" w:ascii="仿宋_GB2312" w:hAnsi="仿宋_GB2312" w:cs="仿宋_GB2312"/>
          <w:sz w:val="32"/>
          <w:szCs w:val="32"/>
          <w:lang w:val="en-US" w:eastAsia="zh-CN"/>
        </w:rPr>
        <w:t>管理</w:t>
      </w:r>
      <w:r>
        <w:rPr>
          <w:rFonts w:hint="eastAsia" w:ascii="仿宋_GB2312" w:hAnsi="仿宋_GB2312" w:eastAsia="仿宋_GB2312" w:cs="仿宋_GB2312"/>
          <w:sz w:val="32"/>
          <w:szCs w:val="32"/>
          <w:lang w:val="en-US" w:eastAsia="zh-CN"/>
        </w:rPr>
        <w:t>制度进行支付，专款用于</w:t>
      </w:r>
      <w:r>
        <w:rPr>
          <w:rFonts w:hint="eastAsia" w:ascii="仿宋_GB2312" w:hAnsi="仿宋_GB2312" w:cs="仿宋_GB2312"/>
          <w:sz w:val="32"/>
          <w:szCs w:val="32"/>
          <w:lang w:val="en-US" w:eastAsia="zh-CN"/>
        </w:rPr>
        <w:t>数字博物馆项目建设支出</w:t>
      </w:r>
      <w:r>
        <w:rPr>
          <w:rFonts w:hint="eastAsia" w:ascii="仿宋_GB2312" w:hAnsi="仿宋_GB2312" w:eastAsia="仿宋_GB2312" w:cs="仿宋_GB2312"/>
          <w:sz w:val="32"/>
          <w:szCs w:val="32"/>
          <w:lang w:val="en-US" w:eastAsia="zh-CN"/>
        </w:rPr>
        <w:t>，执行率</w:t>
      </w:r>
      <w:r>
        <w:rPr>
          <w:rFonts w:hint="eastAsia" w:ascii="仿宋_GB2312" w:hAnsi="仿宋_GB2312" w:cs="仿宋_GB2312"/>
          <w:sz w:val="32"/>
          <w:szCs w:val="32"/>
          <w:lang w:val="en-US" w:eastAsia="zh-CN"/>
        </w:rPr>
        <w:t>4.39</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firstLine="640" w:firstLineChars="200"/>
        <w:textAlignment w:val="auto"/>
        <w:outlineLvl w:val="0"/>
        <w:rPr>
          <w:rFonts w:hint="eastAsia" w:ascii="仿宋" w:hAnsi="仿宋" w:eastAsia="仿宋" w:cs="仿宋"/>
          <w:b w:val="0"/>
          <w:bCs/>
          <w:sz w:val="32"/>
          <w:szCs w:val="32"/>
          <w:lang w:eastAsia="zh-CN"/>
        </w:rPr>
      </w:pPr>
      <w:r>
        <w:rPr>
          <w:rFonts w:hint="eastAsia" w:ascii="楷体_GB2312" w:hAnsi="楷体_GB2312" w:eastAsia="楷体_GB2312" w:cs="楷体_GB2312"/>
          <w:b w:val="0"/>
          <w:bCs/>
          <w:sz w:val="32"/>
          <w:szCs w:val="32"/>
        </w:rPr>
        <w:t>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 w:cs="仿宋_GB2312"/>
          <w:b w:val="0"/>
          <w:bCs/>
          <w:color w:val="auto"/>
          <w:sz w:val="32"/>
          <w:szCs w:val="32"/>
          <w:lang w:val="en-US" w:eastAsia="zh-CN"/>
        </w:rPr>
      </w:pPr>
      <w:r>
        <w:rPr>
          <w:rFonts w:hint="eastAsia" w:ascii="仿宋_GB2312" w:hAnsi="仿宋_GB2312" w:cs="仿宋_GB2312"/>
          <w:color w:val="auto"/>
          <w:sz w:val="32"/>
          <w:szCs w:val="32"/>
          <w:lang w:val="en-US" w:eastAsia="zh-CN"/>
        </w:rPr>
        <w:t>全年保障了数字博物馆项目建设,但数字博物馆项目整体建设未完成，未投入使用，故未产生对馆里和社会的影响作用。</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left="0" w:leftChars="0" w:firstLine="640" w:firstLineChars="200"/>
        <w:textAlignment w:val="auto"/>
        <w:outlineLvl w:val="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绩效指标完成情况分析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1.项目的经济性分析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（1）项目成本（预算）控制情况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本项目坚持以预算为依据，杜绝无预算或超预算开支，严格控制项目成本。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（2）项目成本（预算）节约情况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项目选择的供应商，</w:t>
      </w:r>
      <w:r>
        <w:rPr>
          <w:rFonts w:hint="eastAsia" w:ascii="仿宋_GB2312" w:hAnsi="仿宋_GB2312" w:cs="仿宋_GB2312"/>
          <w:sz w:val="32"/>
          <w:szCs w:val="32"/>
          <w:lang w:val="en-US" w:eastAsia="zh-CN"/>
        </w:rPr>
        <w:t>通过政府采购</w:t>
      </w:r>
      <w:r>
        <w:rPr>
          <w:rFonts w:hint="eastAsia" w:ascii="仿宋_GB2312" w:hAnsi="仿宋_GB2312" w:cs="仿宋_GB2312"/>
          <w:sz w:val="32"/>
          <w:szCs w:val="32"/>
          <w:lang w:eastAsia="zh-CN"/>
        </w:rPr>
        <w:t>公开招标的采购方式，确定服务、质量及价格最优的供应商，既控制在预算内，且节约了项目成本。</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2.项目的效率性分析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（1）项目的实施情况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eastAsia="zh-CN"/>
        </w:rPr>
        <w:t>截止评价日，数字博物馆项目各子项建设完成进度如下：南海海上丝绸之路活态展示系统项目正在建设中；蓝色国土教育-VR数字课堂项目</w:t>
      </w:r>
      <w:r>
        <w:rPr>
          <w:rFonts w:hint="eastAsia" w:ascii="仿宋_GB2312" w:hAnsi="仿宋_GB2312" w:eastAsia="仿宋_GB2312" w:cs="仿宋_GB2312"/>
          <w:sz w:val="32"/>
          <w:szCs w:val="32"/>
          <w:lang w:val="en-US" w:eastAsia="zh-CN"/>
        </w:rPr>
        <w:t>已完成全部建设内容，于2023年3月1日通过初步验收</w:t>
      </w:r>
      <w:r>
        <w:rPr>
          <w:rFonts w:hint="eastAsia" w:ascii="仿宋_GB2312" w:hAnsi="仿宋_GB2312" w:cs="仿宋_GB2312"/>
          <w:sz w:val="32"/>
          <w:szCs w:val="32"/>
          <w:lang w:val="en-US" w:eastAsia="zh-CN"/>
        </w:rPr>
        <w:t>；数据采集项目</w:t>
      </w:r>
      <w:r>
        <w:rPr>
          <w:rFonts w:hint="eastAsia" w:ascii="仿宋_GB2312" w:hAnsi="仿宋_GB2312" w:eastAsia="仿宋_GB2312" w:cs="仿宋_GB2312"/>
          <w:sz w:val="32"/>
          <w:szCs w:val="32"/>
          <w:lang w:val="en-US" w:eastAsia="zh-CN"/>
        </w:rPr>
        <w:t>已完成全部建设内容，2022年9月30日通过初步验收。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（2）项目完成质量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截止评价日，蓝色国土教育-VR数字课堂和数据采集项目项目已完成全部建设，并通过初步验收。南海海上丝绸之路活态展示系统项目因部分涉及到展厅改造，为保证我馆整体建筑及施工安全，我馆决定对该项目建设场地四号展厅进行建筑承重安全检测，确保建筑结构安全后再行开工，项目整体未完成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3.项目的效益性分析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（1）项目预期目标完成程度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①产出指标：完成了数据采集项目，故</w:t>
      </w:r>
      <w:r>
        <w:rPr>
          <w:rFonts w:hint="eastAsia" w:ascii="仿宋_GB2312" w:hAnsi="仿宋_GB2312" w:eastAsia="仿宋_GB2312" w:cs="仿宋_GB2312"/>
          <w:color w:val="auto"/>
          <w:sz w:val="32"/>
          <w:szCs w:val="32"/>
          <w:lang w:val="en-US" w:eastAsia="zh-CN"/>
        </w:rPr>
        <w:t>管理和服务项目</w:t>
      </w:r>
      <w:r>
        <w:rPr>
          <w:rFonts w:hint="eastAsia" w:ascii="仿宋_GB2312" w:hAnsi="仿宋_GB2312" w:cs="仿宋_GB2312"/>
          <w:color w:val="auto"/>
          <w:sz w:val="32"/>
          <w:szCs w:val="32"/>
          <w:lang w:val="en-US" w:eastAsia="zh-CN"/>
        </w:rPr>
        <w:t>完成1个</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color w:val="auto"/>
          <w:sz w:val="32"/>
          <w:szCs w:val="32"/>
          <w:lang w:val="en-US" w:eastAsia="zh-CN"/>
        </w:rPr>
        <w:t>②效益指标：项目年度预计计划为完成2个项目包验收通过投入使用，</w:t>
      </w:r>
      <w:r>
        <w:rPr>
          <w:rFonts w:hint="eastAsia" w:ascii="仿宋_GB2312" w:hAnsi="仿宋_GB2312" w:cs="仿宋_GB2312"/>
          <w:sz w:val="32"/>
          <w:szCs w:val="32"/>
          <w:lang w:val="en-US" w:eastAsia="zh-CN"/>
        </w:rPr>
        <w:t>2022年度仅数据采集项目通过初验，故项目完成率50%；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cs="仿宋_GB2312"/>
          <w:color w:val="auto"/>
          <w:sz w:val="32"/>
          <w:szCs w:val="32"/>
          <w:lang w:val="en-US" w:eastAsia="zh-CN"/>
        </w:rPr>
        <w:t>③满意度指标：</w:t>
      </w:r>
      <w:r>
        <w:rPr>
          <w:rFonts w:hint="eastAsia" w:ascii="仿宋_GB2312" w:hAnsi="仿宋_GB2312" w:eastAsia="仿宋_GB2312" w:cs="仿宋_GB2312"/>
          <w:kern w:val="2"/>
          <w:sz w:val="32"/>
          <w:szCs w:val="32"/>
          <w:lang w:val="en-US" w:eastAsia="zh-CN" w:bidi="ar-SA"/>
        </w:rPr>
        <w:t>通过服务对象调查问卷，对系统项目满意度为95.2</w:t>
      </w:r>
      <w:r>
        <w:rPr>
          <w:rFonts w:hint="eastAsia" w:ascii="仿宋_GB2312" w:hAnsi="仿宋_GB2312" w:cs="仿宋_GB2312"/>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（2）项目实施对经济和社会的影响</w:t>
      </w:r>
    </w:p>
    <w:p>
      <w:pPr>
        <w:pStyle w:val="10"/>
        <w:spacing w:line="540" w:lineRule="exact"/>
        <w:ind w:firstLine="56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的实施，将进一步提升我馆展示的整体水平，从而吸引更多参观访问用户，通过虚拟展厅、3D藏品、展览展讯、活动资讯等丰富多彩的馆藏信息资源提高互联网访问量，线上展示带来的宣传效应同时也能吸引全国各地乃至海外观众到馆实地参观，再加上展厅数字化提升给观众带来更好的参观体验，增加线下参观人次。随着到馆人数的增加，将直接推动区域内旅游休闲、文化创意产业的发展，同时还将通过交通、餐饮、住宿、零售等方面拉动区域经济增长。</w:t>
      </w:r>
    </w:p>
    <w:p>
      <w:pPr>
        <w:pStyle w:val="10"/>
        <w:spacing w:line="540" w:lineRule="exact"/>
        <w:ind w:firstLine="56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的实施还将改善我馆文物的展示和传播方式，将静态的文物资源以生动的、交互的、现代化的手段集中展示出来，延伸文物展示空间、延长展示时间、丰富展示内容、提高展示质量、降低参观成本、增强观众互动，更加贴近群众、贴近实际、贴近生活，实现博物馆学术性、知识性、趣味性、观赏性的相统一，拓展文物传承利用途径。促进我馆文物的传播与展示宣传效果，实现文化资源的共享，促进省际、馆际之间的资源共享与合作，促进文化旅游、文物教育，对于弘扬先进文化，促进文化大发展大繁荣提供强大的精神动力和智力支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4.项目的可持续性分析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sz w:val="32"/>
          <w:szCs w:val="32"/>
        </w:rPr>
      </w:pPr>
      <w:r>
        <w:rPr>
          <w:rFonts w:hint="eastAsia" w:ascii="仿宋_GB2312" w:hAnsi="仿宋_GB2312" w:cs="仿宋_GB2312"/>
          <w:sz w:val="32"/>
          <w:szCs w:val="32"/>
          <w:lang w:eastAsia="zh-CN"/>
        </w:rPr>
        <w:t>我馆为正处级公益一类事业单位，预算资金由财政全额拨款，项目在政策和资金上有一定保障，同时我馆工作人员在历年项目实施过程中已积累了丰富的经验，人员安排亦有充足保障，项目可持续性较好。</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仿宋_GB2312"/>
          <w:b w:val="0"/>
          <w:bCs/>
          <w:sz w:val="32"/>
          <w:szCs w:val="32"/>
        </w:rPr>
      </w:pPr>
      <w:r>
        <w:rPr>
          <w:rFonts w:hint="eastAsia" w:ascii="黑体" w:hAnsi="黑体" w:eastAsia="黑体" w:cs="黑体"/>
          <w:b w:val="0"/>
          <w:bCs/>
          <w:sz w:val="32"/>
          <w:szCs w:val="32"/>
        </w:rPr>
        <w:t>三、偏离绩效目标的原因和下一步改进措施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sz w:val="32"/>
          <w:szCs w:val="32"/>
          <w:lang w:eastAsia="zh-CN"/>
        </w:rPr>
        <w:t>偏离绩效目标主要原因：一是南海海上丝绸之路活态展示系统项目（</w:t>
      </w:r>
      <w:r>
        <w:rPr>
          <w:rFonts w:hint="eastAsia" w:ascii="仿宋_GB2312" w:hAnsi="仿宋_GB2312" w:cs="仿宋_GB2312"/>
          <w:sz w:val="32"/>
          <w:szCs w:val="32"/>
          <w:lang w:val="en-US" w:eastAsia="zh-CN"/>
        </w:rPr>
        <w:t>A包</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部分涉及到展厅改造，为保证我馆整体建筑及施工安全，我馆决定对该项目建设场地四号展厅进行建筑承重安全检测，确保建筑结构安全后再行开工，故导致项目进度缓慢。二是因VR课程故事需要完善丰富内容，暂不满足验收条件原因，导致</w:t>
      </w:r>
      <w:r>
        <w:rPr>
          <w:rFonts w:hint="eastAsia" w:ascii="仿宋_GB2312" w:hAnsi="仿宋_GB2312" w:cs="仿宋_GB2312"/>
          <w:sz w:val="32"/>
          <w:szCs w:val="32"/>
          <w:lang w:eastAsia="zh-CN"/>
        </w:rPr>
        <w:t>蓝色国土教育-VR数字课堂</w:t>
      </w:r>
      <w:r>
        <w:rPr>
          <w:rFonts w:hint="eastAsia" w:ascii="仿宋_GB2312" w:hAnsi="仿宋_GB2312" w:cs="仿宋_GB2312"/>
          <w:sz w:val="32"/>
          <w:szCs w:val="32"/>
          <w:lang w:val="en-US" w:eastAsia="zh-CN"/>
        </w:rPr>
        <w:t>项目</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B包</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未在2022年完成初验。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val="0"/>
          <w:bCs/>
          <w:sz w:val="32"/>
          <w:szCs w:val="32"/>
          <w:lang w:eastAsia="zh-CN"/>
        </w:rPr>
      </w:pPr>
      <w:r>
        <w:rPr>
          <w:rFonts w:hint="eastAsia" w:ascii="仿宋_GB2312" w:hAnsi="仿宋_GB2312" w:cs="仿宋_GB2312"/>
          <w:sz w:val="32"/>
          <w:szCs w:val="32"/>
          <w:lang w:val="en-US" w:eastAsia="zh-CN"/>
        </w:rPr>
        <w:t>下一步改进措施：A包目前建筑承重检测公司已于2023年4月13日进场开始测试工作，预计4月30日左右会得出测试结论并给出正式测试结论报告，我馆将根据报告结论尽快推进工程建设工作。</w:t>
      </w:r>
    </w:p>
    <w:p>
      <w:pPr>
        <w:keepNext w:val="0"/>
        <w:keepLines w:val="0"/>
        <w:pageBreakBefore w:val="0"/>
        <w:widowControl w:val="0"/>
        <w:numPr>
          <w:ilvl w:val="0"/>
          <w:numId w:val="2"/>
        </w:numPr>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sz w:val="32"/>
          <w:szCs w:val="32"/>
          <w:lang w:eastAsia="zh-CN"/>
        </w:rPr>
        <w:t>绩效自评结果</w:t>
      </w:r>
      <w:r>
        <w:rPr>
          <w:rFonts w:hint="eastAsia" w:ascii="仿宋_GB2312" w:hAnsi="仿宋_GB2312" w:cs="仿宋_GB2312"/>
          <w:sz w:val="32"/>
          <w:szCs w:val="32"/>
          <w:lang w:eastAsia="zh-CN"/>
        </w:rPr>
        <w:t>拟应用于下年度开展项目时作为改进管理的重要依据，同时加强评价结果的应用，对有效支出安排预算、低效支出压减预算、无效支出进行问责，切实提高单位预算绩效管理水平，自评结果将报送主管部门，并按照要求将绩效自评结果在单位官网上公开。</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五、其他需要说明的问题</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无</w:t>
      </w:r>
      <w:r>
        <w:rPr>
          <w:rFonts w:hint="eastAsia" w:ascii="仿宋_GB2312" w:hAnsi="仿宋_GB2312" w:cs="仿宋_GB2312"/>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黑体" w:hAnsi="黑体" w:eastAsia="黑体" w:cs="黑体"/>
          <w:b w:val="0"/>
          <w:bCs/>
          <w:sz w:val="32"/>
          <w:szCs w:val="32"/>
          <w:lang w:val="en"/>
        </w:rPr>
      </w:pPr>
      <w:r>
        <w:rPr>
          <w:rFonts w:hint="eastAsia" w:ascii="黑体" w:hAnsi="黑体" w:eastAsia="黑体" w:cs="黑体"/>
          <w:b w:val="0"/>
          <w:bCs/>
          <w:sz w:val="32"/>
          <w:szCs w:val="32"/>
          <w:lang w:val="en"/>
        </w:rPr>
        <w:t>六、附件</w:t>
      </w:r>
    </w:p>
    <w:p>
      <w:pPr>
        <w:keepNext w:val="0"/>
        <w:keepLines w:val="0"/>
        <w:pageBreakBefore w:val="0"/>
        <w:widowControl w:val="0"/>
        <w:numPr>
          <w:ilvl w:val="0"/>
          <w:numId w:val="0"/>
        </w:numPr>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cs="仿宋_GB2312"/>
          <w:sz w:val="32"/>
          <w:szCs w:val="32"/>
          <w:lang w:val="en" w:eastAsia="zh-CN"/>
        </w:rPr>
      </w:pPr>
      <w:r>
        <w:rPr>
          <w:rFonts w:hint="eastAsia" w:ascii="仿宋_GB2312" w:hAnsi="仿宋_GB2312" w:cs="仿宋_GB2312"/>
          <w:sz w:val="32"/>
          <w:szCs w:val="32"/>
          <w:lang w:eastAsia="zh-CN"/>
        </w:rPr>
        <w:t>转移支付区域（项目）绩效目标自评表</w:t>
      </w:r>
    </w:p>
    <w:sectPr>
      <w:footerReference r:id="rId3" w:type="default"/>
      <w:pgSz w:w="11906" w:h="16838"/>
      <w:pgMar w:top="2098" w:right="1474" w:bottom="1984" w:left="1587" w:header="851" w:footer="1587" w:gutter="0"/>
      <w:pgNumType w:fmt="decimal"/>
      <w:cols w:space="0" w:num="1"/>
      <w:rtlGutter w:val="0"/>
      <w:docGrid w:type="lines" w:linePitch="41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F1F2E"/>
    <w:multiLevelType w:val="singleLevel"/>
    <w:tmpl w:val="B4AF1F2E"/>
    <w:lvl w:ilvl="0" w:tentative="0">
      <w:start w:val="2"/>
      <w:numFmt w:val="chineseCounting"/>
      <w:suff w:val="nothing"/>
      <w:lvlText w:val="（%1）"/>
      <w:lvlJc w:val="left"/>
      <w:rPr>
        <w:rFonts w:hint="eastAsia"/>
      </w:rPr>
    </w:lvl>
  </w:abstractNum>
  <w:abstractNum w:abstractNumId="1">
    <w:nsid w:val="768E056F"/>
    <w:multiLevelType w:val="singleLevel"/>
    <w:tmpl w:val="768E056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50"/>
  <w:drawingGridVerticalSpacing w:val="2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OTJmMDM5NjBkOTU3YzMxMWE1MzViYjUxM2ExYTMifQ=="/>
  </w:docVars>
  <w:rsids>
    <w:rsidRoot w:val="00F57F82"/>
    <w:rsid w:val="000101E1"/>
    <w:rsid w:val="000732DA"/>
    <w:rsid w:val="00075CDC"/>
    <w:rsid w:val="000B1E8F"/>
    <w:rsid w:val="000B6964"/>
    <w:rsid w:val="00103D16"/>
    <w:rsid w:val="00111638"/>
    <w:rsid w:val="00111928"/>
    <w:rsid w:val="0012041C"/>
    <w:rsid w:val="00164D84"/>
    <w:rsid w:val="00173016"/>
    <w:rsid w:val="0017509C"/>
    <w:rsid w:val="001808CA"/>
    <w:rsid w:val="001A4E46"/>
    <w:rsid w:val="001E03FE"/>
    <w:rsid w:val="002123E8"/>
    <w:rsid w:val="00250053"/>
    <w:rsid w:val="0029569C"/>
    <w:rsid w:val="002A5FA7"/>
    <w:rsid w:val="002B3EEF"/>
    <w:rsid w:val="002B54E4"/>
    <w:rsid w:val="002E5562"/>
    <w:rsid w:val="002F6705"/>
    <w:rsid w:val="00301FC0"/>
    <w:rsid w:val="00336A16"/>
    <w:rsid w:val="003663A3"/>
    <w:rsid w:val="00387DD5"/>
    <w:rsid w:val="003B0980"/>
    <w:rsid w:val="003C6374"/>
    <w:rsid w:val="003D2CB9"/>
    <w:rsid w:val="00413F12"/>
    <w:rsid w:val="00493012"/>
    <w:rsid w:val="004D2137"/>
    <w:rsid w:val="005D1514"/>
    <w:rsid w:val="005D7CC3"/>
    <w:rsid w:val="006218A1"/>
    <w:rsid w:val="00682A10"/>
    <w:rsid w:val="006A30E4"/>
    <w:rsid w:val="006A74BF"/>
    <w:rsid w:val="006C1CEE"/>
    <w:rsid w:val="006D5A86"/>
    <w:rsid w:val="00707C2E"/>
    <w:rsid w:val="00722A7D"/>
    <w:rsid w:val="00724A6B"/>
    <w:rsid w:val="0073331B"/>
    <w:rsid w:val="00733C2D"/>
    <w:rsid w:val="00756C7F"/>
    <w:rsid w:val="007D7E6E"/>
    <w:rsid w:val="00850797"/>
    <w:rsid w:val="00853FC4"/>
    <w:rsid w:val="008720F1"/>
    <w:rsid w:val="00882EFA"/>
    <w:rsid w:val="008B2F56"/>
    <w:rsid w:val="008F0996"/>
    <w:rsid w:val="00903791"/>
    <w:rsid w:val="009600BD"/>
    <w:rsid w:val="00961C83"/>
    <w:rsid w:val="009922BC"/>
    <w:rsid w:val="009E0D8C"/>
    <w:rsid w:val="00A02AF3"/>
    <w:rsid w:val="00A25077"/>
    <w:rsid w:val="00A610CC"/>
    <w:rsid w:val="00A8737E"/>
    <w:rsid w:val="00AA19AF"/>
    <w:rsid w:val="00BC6882"/>
    <w:rsid w:val="00BD3FE0"/>
    <w:rsid w:val="00BE58CF"/>
    <w:rsid w:val="00CA5578"/>
    <w:rsid w:val="00CA7DAA"/>
    <w:rsid w:val="00D04826"/>
    <w:rsid w:val="00D63908"/>
    <w:rsid w:val="00D8718A"/>
    <w:rsid w:val="00D93453"/>
    <w:rsid w:val="00DC524D"/>
    <w:rsid w:val="00E071D6"/>
    <w:rsid w:val="00ED3E0F"/>
    <w:rsid w:val="00F015E4"/>
    <w:rsid w:val="00F57F82"/>
    <w:rsid w:val="00F75224"/>
    <w:rsid w:val="00F91EAE"/>
    <w:rsid w:val="00FA086C"/>
    <w:rsid w:val="00FA2093"/>
    <w:rsid w:val="00FA357A"/>
    <w:rsid w:val="015C48BA"/>
    <w:rsid w:val="028413D6"/>
    <w:rsid w:val="03234639"/>
    <w:rsid w:val="037D0BC8"/>
    <w:rsid w:val="038F0F77"/>
    <w:rsid w:val="07300CC3"/>
    <w:rsid w:val="076174E7"/>
    <w:rsid w:val="0845082D"/>
    <w:rsid w:val="098F0193"/>
    <w:rsid w:val="09E965F2"/>
    <w:rsid w:val="0C52505C"/>
    <w:rsid w:val="0D4B3B53"/>
    <w:rsid w:val="0D6C5618"/>
    <w:rsid w:val="0F9F36BB"/>
    <w:rsid w:val="0FF7AA4F"/>
    <w:rsid w:val="11052878"/>
    <w:rsid w:val="12D952BF"/>
    <w:rsid w:val="139840D3"/>
    <w:rsid w:val="139B5716"/>
    <w:rsid w:val="140A3D21"/>
    <w:rsid w:val="143E091F"/>
    <w:rsid w:val="14865FC8"/>
    <w:rsid w:val="150C2DB0"/>
    <w:rsid w:val="1545443E"/>
    <w:rsid w:val="177469AA"/>
    <w:rsid w:val="18FC8453"/>
    <w:rsid w:val="1911005A"/>
    <w:rsid w:val="19837D36"/>
    <w:rsid w:val="1A7D29EA"/>
    <w:rsid w:val="1B7156DA"/>
    <w:rsid w:val="1CC7132A"/>
    <w:rsid w:val="1CCE11AA"/>
    <w:rsid w:val="1D994BCF"/>
    <w:rsid w:val="1E5FB546"/>
    <w:rsid w:val="1E761F05"/>
    <w:rsid w:val="1F7BE1E6"/>
    <w:rsid w:val="1F7E03C6"/>
    <w:rsid w:val="1FC7205C"/>
    <w:rsid w:val="20937EA1"/>
    <w:rsid w:val="20B12A40"/>
    <w:rsid w:val="228B3D05"/>
    <w:rsid w:val="231F3247"/>
    <w:rsid w:val="247C279A"/>
    <w:rsid w:val="252741BA"/>
    <w:rsid w:val="259A085A"/>
    <w:rsid w:val="25E76599"/>
    <w:rsid w:val="26C8635B"/>
    <w:rsid w:val="284E74F8"/>
    <w:rsid w:val="289F591A"/>
    <w:rsid w:val="29BB5D72"/>
    <w:rsid w:val="2ADB48E8"/>
    <w:rsid w:val="2BD55811"/>
    <w:rsid w:val="2C385DA0"/>
    <w:rsid w:val="2E291E44"/>
    <w:rsid w:val="2E4176AE"/>
    <w:rsid w:val="2E5D1AEE"/>
    <w:rsid w:val="2F0361F1"/>
    <w:rsid w:val="2FCA20B6"/>
    <w:rsid w:val="357A11D7"/>
    <w:rsid w:val="365A28BC"/>
    <w:rsid w:val="36687282"/>
    <w:rsid w:val="367793B2"/>
    <w:rsid w:val="370A1832"/>
    <w:rsid w:val="37377D3D"/>
    <w:rsid w:val="3794FC37"/>
    <w:rsid w:val="38060B00"/>
    <w:rsid w:val="38214403"/>
    <w:rsid w:val="38EF7AD8"/>
    <w:rsid w:val="391B682D"/>
    <w:rsid w:val="396E4BAF"/>
    <w:rsid w:val="39872B7F"/>
    <w:rsid w:val="3D7309E6"/>
    <w:rsid w:val="3E1672E6"/>
    <w:rsid w:val="3EB9C2BB"/>
    <w:rsid w:val="3F7DAA47"/>
    <w:rsid w:val="3FEF6A07"/>
    <w:rsid w:val="415F08D8"/>
    <w:rsid w:val="44E2230F"/>
    <w:rsid w:val="450A28A8"/>
    <w:rsid w:val="47BC5C53"/>
    <w:rsid w:val="483671E0"/>
    <w:rsid w:val="48B51347"/>
    <w:rsid w:val="491B45FA"/>
    <w:rsid w:val="494F67AB"/>
    <w:rsid w:val="4A55216A"/>
    <w:rsid w:val="4E380E4F"/>
    <w:rsid w:val="4FA848EF"/>
    <w:rsid w:val="4FE0696A"/>
    <w:rsid w:val="4FE707F9"/>
    <w:rsid w:val="535D1AC5"/>
    <w:rsid w:val="53994B4A"/>
    <w:rsid w:val="546F8569"/>
    <w:rsid w:val="555076EA"/>
    <w:rsid w:val="55673508"/>
    <w:rsid w:val="55E464CD"/>
    <w:rsid w:val="58BA3515"/>
    <w:rsid w:val="59595A6F"/>
    <w:rsid w:val="597350B8"/>
    <w:rsid w:val="598D29D8"/>
    <w:rsid w:val="599330CA"/>
    <w:rsid w:val="5A7FCB1F"/>
    <w:rsid w:val="5D0134C1"/>
    <w:rsid w:val="5FEAF7C9"/>
    <w:rsid w:val="5FEFA412"/>
    <w:rsid w:val="60D5009F"/>
    <w:rsid w:val="63626C83"/>
    <w:rsid w:val="63D3192F"/>
    <w:rsid w:val="64AC2E11"/>
    <w:rsid w:val="65501489"/>
    <w:rsid w:val="65D8147F"/>
    <w:rsid w:val="660721C9"/>
    <w:rsid w:val="661E6C75"/>
    <w:rsid w:val="67C021CA"/>
    <w:rsid w:val="67F75FF5"/>
    <w:rsid w:val="681D4831"/>
    <w:rsid w:val="6897117D"/>
    <w:rsid w:val="692E4B19"/>
    <w:rsid w:val="69513EF7"/>
    <w:rsid w:val="6AAF2002"/>
    <w:rsid w:val="6BF3256F"/>
    <w:rsid w:val="6CE7018A"/>
    <w:rsid w:val="6D5B6F15"/>
    <w:rsid w:val="6D6F2199"/>
    <w:rsid w:val="6DEDB046"/>
    <w:rsid w:val="6E011F24"/>
    <w:rsid w:val="6E3E3F2D"/>
    <w:rsid w:val="6F2B6AC3"/>
    <w:rsid w:val="70B65447"/>
    <w:rsid w:val="715B2F02"/>
    <w:rsid w:val="74A42C2B"/>
    <w:rsid w:val="75954670"/>
    <w:rsid w:val="765C57B4"/>
    <w:rsid w:val="76A548F2"/>
    <w:rsid w:val="7765772E"/>
    <w:rsid w:val="776F5E62"/>
    <w:rsid w:val="77867685"/>
    <w:rsid w:val="77EE7FE7"/>
    <w:rsid w:val="781F36B6"/>
    <w:rsid w:val="790627AD"/>
    <w:rsid w:val="79DFF8C4"/>
    <w:rsid w:val="7ADC59FA"/>
    <w:rsid w:val="7AFF2FC3"/>
    <w:rsid w:val="7B635E88"/>
    <w:rsid w:val="7B6F41DF"/>
    <w:rsid w:val="7B8F21E1"/>
    <w:rsid w:val="7BD83B2F"/>
    <w:rsid w:val="7BF6B4C5"/>
    <w:rsid w:val="7C30396B"/>
    <w:rsid w:val="7DD71AD1"/>
    <w:rsid w:val="7DDD794F"/>
    <w:rsid w:val="7DFA6624"/>
    <w:rsid w:val="7DFD8AD7"/>
    <w:rsid w:val="7DFEFB95"/>
    <w:rsid w:val="7ECD6B9A"/>
    <w:rsid w:val="7F7FE75F"/>
    <w:rsid w:val="7FBA576D"/>
    <w:rsid w:val="7FDE47D5"/>
    <w:rsid w:val="7FFD003D"/>
    <w:rsid w:val="94BFC172"/>
    <w:rsid w:val="9BFA614C"/>
    <w:rsid w:val="BAFE1E17"/>
    <w:rsid w:val="BBDF5B5A"/>
    <w:rsid w:val="BBE428C2"/>
    <w:rsid w:val="BD6F8907"/>
    <w:rsid w:val="BFBF52D7"/>
    <w:rsid w:val="C9FA7C05"/>
    <w:rsid w:val="DF6E82F1"/>
    <w:rsid w:val="DFCEE0CE"/>
    <w:rsid w:val="DFFF7077"/>
    <w:rsid w:val="EEBF76D9"/>
    <w:rsid w:val="F36EF6AC"/>
    <w:rsid w:val="F5BEA0BC"/>
    <w:rsid w:val="F6FDCC0E"/>
    <w:rsid w:val="F75204E9"/>
    <w:rsid w:val="F767D450"/>
    <w:rsid w:val="F76FB1DB"/>
    <w:rsid w:val="F7764ED3"/>
    <w:rsid w:val="F7FBEBBF"/>
    <w:rsid w:val="F9F3FBF0"/>
    <w:rsid w:val="FB9B969D"/>
    <w:rsid w:val="FB9F8FA2"/>
    <w:rsid w:val="FDB5389F"/>
    <w:rsid w:val="FF9D4583"/>
    <w:rsid w:val="FFAFB80B"/>
    <w:rsid w:val="FFF9F86D"/>
    <w:rsid w:val="FFFBF5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eastAsia="仿宋_GB2312"/>
      <w:kern w:val="2"/>
      <w:sz w:val="18"/>
      <w:szCs w:val="18"/>
    </w:rPr>
  </w:style>
  <w:style w:type="character" w:customStyle="1" w:styleId="8">
    <w:name w:val="页眉 Char"/>
    <w:basedOn w:val="6"/>
    <w:link w:val="4"/>
    <w:qFormat/>
    <w:uiPriority w:val="0"/>
    <w:rPr>
      <w:rFonts w:eastAsia="仿宋_GB2312"/>
      <w:kern w:val="2"/>
      <w:sz w:val="18"/>
      <w:szCs w:val="18"/>
    </w:rPr>
  </w:style>
  <w:style w:type="character" w:customStyle="1" w:styleId="9">
    <w:name w:val="批注框文本 Char"/>
    <w:basedOn w:val="6"/>
    <w:link w:val="2"/>
    <w:qFormat/>
    <w:uiPriority w:val="0"/>
    <w:rPr>
      <w:rFonts w:eastAsia="仿宋_GB2312"/>
      <w:kern w:val="2"/>
      <w:sz w:val="18"/>
      <w:szCs w:val="18"/>
    </w:rPr>
  </w:style>
  <w:style w:type="paragraph" w:customStyle="1" w:styleId="10">
    <w:name w:val="1正文"/>
    <w:basedOn w:val="1"/>
    <w:qFormat/>
    <w:uiPriority w:val="0"/>
    <w:pPr>
      <w:spacing w:line="360" w:lineRule="auto"/>
      <w:ind w:firstLine="200" w:firstLineChars="200"/>
    </w:pPr>
    <w:rPr>
      <w:rFonts w:ascii="Times New Roman" w:hAnsi="Times New Roman" w:eastAsia="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1950</Words>
  <Characters>2021</Characters>
  <Lines>3</Lines>
  <Paragraphs>1</Paragraphs>
  <TotalTime>19</TotalTime>
  <ScaleCrop>false</ScaleCrop>
  <LinksUpToDate>false</LinksUpToDate>
  <CharactersWithSpaces>2022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2019-02-17T22:26:00Z</dcterms:created>
  <dc:creator>lhn</dc:creator>
  <cp:lastModifiedBy>方艺娟</cp:lastModifiedBy>
  <cp:lastPrinted>2023-04-19T08:18:00Z</cp:lastPrinted>
  <dcterms:modified xsi:type="dcterms:W3CDTF">2023-04-24T09:15:56Z</dcterms:modified>
  <dc:title>财政支出绩效评价报告</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7E215FF8BBE04AAEBAC3A77B0D9CF5B1_12</vt:lpwstr>
  </property>
</Properties>
</file>